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8AA1" w14:textId="77777777" w:rsidR="00EB285D" w:rsidRPr="00EB285D" w:rsidRDefault="00EB285D" w:rsidP="00EB285D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cs="Arial"/>
          <w:b/>
          <w:bCs/>
          <w:sz w:val="28"/>
        </w:rPr>
      </w:pPr>
      <w:r w:rsidRPr="00EB285D">
        <w:rPr>
          <w:rFonts w:cs="Arial"/>
          <w:b/>
          <w:bCs/>
          <w:sz w:val="28"/>
        </w:rPr>
        <w:t>Job Description</w:t>
      </w:r>
    </w:p>
    <w:p w14:paraId="5EAA8DD6" w14:textId="77777777" w:rsidR="00EB285D" w:rsidRDefault="00EB285D" w:rsidP="00EB285D"/>
    <w:p w14:paraId="5B9BAEBB" w14:textId="4E13B413" w:rsidR="00624035" w:rsidRPr="00A428CC" w:rsidRDefault="00624035" w:rsidP="00624035">
      <w:pPr>
        <w:jc w:val="both"/>
        <w:rPr>
          <w:b/>
          <w:bCs/>
        </w:rPr>
      </w:pPr>
      <w:r w:rsidRPr="00A428CC">
        <w:rPr>
          <w:b/>
        </w:rPr>
        <w:t>Post:</w:t>
      </w:r>
      <w:r w:rsidRPr="00A428CC">
        <w:rPr>
          <w:b/>
        </w:rPr>
        <w:tab/>
      </w:r>
      <w:r w:rsidRPr="00A428CC">
        <w:rPr>
          <w:b/>
        </w:rPr>
        <w:tab/>
      </w:r>
      <w:r w:rsidRPr="00A428CC">
        <w:rPr>
          <w:b/>
        </w:rPr>
        <w:tab/>
      </w:r>
      <w:r w:rsidR="009945C6" w:rsidRPr="00EB285D">
        <w:rPr>
          <w:rFonts w:cs="Arial"/>
          <w:bCs/>
        </w:rPr>
        <w:t>Associate Finance Officer</w:t>
      </w:r>
      <w:r w:rsidRPr="00A428CC">
        <w:rPr>
          <w:b/>
        </w:rPr>
        <w:tab/>
      </w:r>
      <w:r>
        <w:rPr>
          <w:b/>
        </w:rPr>
        <w:t xml:space="preserve"> </w:t>
      </w:r>
    </w:p>
    <w:p w14:paraId="7E8B26B4" w14:textId="1ABCB4C1" w:rsidR="00624035" w:rsidRDefault="00624035" w:rsidP="00624035">
      <w:pPr>
        <w:jc w:val="both"/>
        <w:rPr>
          <w:b/>
        </w:rPr>
      </w:pPr>
      <w:r>
        <w:rPr>
          <w:b/>
        </w:rPr>
        <w:t>Salary:</w:t>
      </w:r>
      <w:r w:rsidRPr="00D77036">
        <w:rPr>
          <w:b/>
        </w:rPr>
        <w:tab/>
      </w:r>
      <w:r w:rsidRPr="00D77036">
        <w:rPr>
          <w:b/>
        </w:rPr>
        <w:tab/>
      </w:r>
      <w:r w:rsidR="00EB285D" w:rsidRPr="00EB285D">
        <w:rPr>
          <w:bCs/>
        </w:rPr>
        <w:t>Up to</w:t>
      </w:r>
      <w:r w:rsidR="00EB285D">
        <w:rPr>
          <w:bCs/>
        </w:rPr>
        <w:t xml:space="preserve"> £10,603.19 (up to £24,851.23 FTE)</w:t>
      </w:r>
      <w:r w:rsidR="00EB285D">
        <w:rPr>
          <w:b/>
        </w:rPr>
        <w:t xml:space="preserve"> </w:t>
      </w:r>
    </w:p>
    <w:p w14:paraId="3B58C160" w14:textId="63599BBE" w:rsidR="00624035" w:rsidRPr="00D77036" w:rsidRDefault="00624035" w:rsidP="00624035">
      <w:pPr>
        <w:ind w:left="2160" w:hanging="2160"/>
        <w:jc w:val="both"/>
        <w:rPr>
          <w:b/>
        </w:rPr>
      </w:pPr>
      <w:r>
        <w:rPr>
          <w:b/>
        </w:rPr>
        <w:t>Hours:</w:t>
      </w:r>
      <w:r>
        <w:rPr>
          <w:b/>
        </w:rPr>
        <w:tab/>
      </w:r>
      <w:r w:rsidRPr="00EB285D">
        <w:rPr>
          <w:bCs/>
        </w:rPr>
        <w:t>Up to 16 hours per week</w:t>
      </w:r>
    </w:p>
    <w:p w14:paraId="56FF4EA0" w14:textId="696649CC" w:rsidR="00624035" w:rsidRDefault="00624035" w:rsidP="00624035">
      <w:pPr>
        <w:jc w:val="both"/>
        <w:rPr>
          <w:b/>
        </w:rPr>
      </w:pPr>
      <w:r w:rsidRPr="00D77036">
        <w:rPr>
          <w:b/>
        </w:rPr>
        <w:t>Reports to:</w:t>
      </w:r>
      <w:r w:rsidRPr="00D77036">
        <w:rPr>
          <w:b/>
        </w:rPr>
        <w:tab/>
      </w:r>
      <w:r w:rsidRPr="00D77036">
        <w:rPr>
          <w:b/>
        </w:rPr>
        <w:tab/>
      </w:r>
      <w:r w:rsidRPr="00EB285D">
        <w:rPr>
          <w:bCs/>
        </w:rPr>
        <w:t>Senior Finance Office</w:t>
      </w:r>
      <w:r w:rsidR="00FF6395" w:rsidRPr="00EB285D">
        <w:rPr>
          <w:bCs/>
        </w:rPr>
        <w:t>r</w:t>
      </w:r>
    </w:p>
    <w:p w14:paraId="1C4F2875" w14:textId="5781C37C" w:rsidR="00624035" w:rsidRPr="00EB285D" w:rsidRDefault="00624035" w:rsidP="00624035">
      <w:pPr>
        <w:jc w:val="both"/>
        <w:rPr>
          <w:bCs/>
        </w:rPr>
      </w:pPr>
      <w:r>
        <w:rPr>
          <w:b/>
        </w:rPr>
        <w:t>Accountable to:</w:t>
      </w:r>
      <w:r>
        <w:rPr>
          <w:b/>
        </w:rPr>
        <w:tab/>
      </w:r>
      <w:r w:rsidR="00F50241" w:rsidRPr="00EB285D">
        <w:rPr>
          <w:bCs/>
        </w:rPr>
        <w:t>Senior Management Team</w:t>
      </w:r>
    </w:p>
    <w:p w14:paraId="1B78264C" w14:textId="77777777" w:rsidR="00624035" w:rsidRPr="00D77036" w:rsidRDefault="00624035" w:rsidP="00624035">
      <w:pPr>
        <w:rPr>
          <w:b/>
        </w:rPr>
      </w:pPr>
    </w:p>
    <w:p w14:paraId="6B61E0BD" w14:textId="77777777" w:rsidR="00624035" w:rsidRPr="00D77036" w:rsidRDefault="00624035" w:rsidP="00624035">
      <w:pPr>
        <w:rPr>
          <w:b/>
        </w:rPr>
      </w:pPr>
      <w:r w:rsidRPr="00D77036">
        <w:rPr>
          <w:b/>
        </w:rPr>
        <w:t xml:space="preserve">Overall aims:  </w:t>
      </w:r>
    </w:p>
    <w:p w14:paraId="24F7962B" w14:textId="2EBAC5F4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aid the delivery</w:t>
      </w:r>
      <w:r>
        <w:t xml:space="preserve"> of an</w:t>
      </w:r>
      <w:r w:rsidRPr="00D77036">
        <w:t xml:space="preserve"> effective and efficient finance operation, providing financial and administrative support to the finance service under the guidance of the </w:t>
      </w:r>
      <w:r>
        <w:t>Senior Finance Officer and Interim Finance Consultant.</w:t>
      </w:r>
    </w:p>
    <w:p w14:paraId="4948AB7D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 xml:space="preserve">support with </w:t>
      </w:r>
      <w:r w:rsidRPr="00D77036">
        <w:t>ensur</w:t>
      </w:r>
      <w:r>
        <w:t>ing</w:t>
      </w:r>
      <w:r w:rsidRPr="00D77036">
        <w:t xml:space="preserve"> accounting procedures and financial controls are properly applied, ensuring the accurate recording of all financial transactions on financial software and other documentation; and </w:t>
      </w:r>
    </w:p>
    <w:p w14:paraId="03E7B946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assist in the coordination general procurement activities, ensuring value for money is attained. </w:t>
      </w:r>
    </w:p>
    <w:p w14:paraId="6BBB6441" w14:textId="77777777" w:rsidR="00624035" w:rsidRPr="00D77036" w:rsidRDefault="00624035" w:rsidP="00624035">
      <w:pPr>
        <w:pStyle w:val="ListParagraph"/>
      </w:pPr>
    </w:p>
    <w:p w14:paraId="0F0209CD" w14:textId="77777777" w:rsidR="00624035" w:rsidRPr="00D77036" w:rsidRDefault="00624035" w:rsidP="00624035">
      <w:r w:rsidRPr="00D77036">
        <w:rPr>
          <w:b/>
        </w:rPr>
        <w:t>Key areas:</w:t>
      </w:r>
    </w:p>
    <w:p w14:paraId="5C3EBE6F" w14:textId="77777777" w:rsidR="00624035" w:rsidRPr="00D77036" w:rsidRDefault="00624035" w:rsidP="00624035">
      <w:pPr>
        <w:ind w:left="360"/>
        <w:jc w:val="both"/>
      </w:pPr>
    </w:p>
    <w:p w14:paraId="6E1C94AB" w14:textId="77777777" w:rsidR="00624035" w:rsidRPr="00D77036" w:rsidRDefault="00624035" w:rsidP="00624035">
      <w:pPr>
        <w:ind w:left="360"/>
        <w:jc w:val="both"/>
        <w:rPr>
          <w:u w:val="single"/>
        </w:rPr>
      </w:pPr>
      <w:r w:rsidRPr="00D77036">
        <w:rPr>
          <w:u w:val="single"/>
        </w:rPr>
        <w:t>Payroll and Pensions:</w:t>
      </w:r>
    </w:p>
    <w:p w14:paraId="598056FC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support the preparation, accuracy checking, inputting and processing of data for the payment of monthly salaries and pensions, along with monthly submissions to the HMRC.</w:t>
      </w:r>
    </w:p>
    <w:p w14:paraId="2B95ECEC" w14:textId="77777777" w:rsidR="00624035" w:rsidRPr="00D77036" w:rsidRDefault="00624035" w:rsidP="00624035">
      <w:pPr>
        <w:ind w:left="360"/>
        <w:jc w:val="both"/>
      </w:pPr>
    </w:p>
    <w:p w14:paraId="31AED860" w14:textId="77777777" w:rsidR="00624035" w:rsidRPr="00D77036" w:rsidRDefault="00624035" w:rsidP="00624035">
      <w:pPr>
        <w:pStyle w:val="NoSpacing"/>
        <w:ind w:firstLine="360"/>
        <w:rPr>
          <w:u w:val="single"/>
        </w:rPr>
      </w:pPr>
      <w:r w:rsidRPr="00D77036">
        <w:rPr>
          <w:u w:val="single"/>
        </w:rPr>
        <w:t>Supplier Payments:</w:t>
      </w:r>
    </w:p>
    <w:p w14:paraId="1BAFAF06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>help ensure</w:t>
      </w:r>
      <w:r w:rsidRPr="00D77036">
        <w:t xml:space="preserve"> the accurate input, checking and processing of supplier payments, ensuring that invoices and other payments requests are bona-fide, properly authorised and complete.</w:t>
      </w:r>
    </w:p>
    <w:p w14:paraId="3DDA2BFB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>assist with</w:t>
      </w:r>
      <w:r w:rsidRPr="00D77036">
        <w:t xml:space="preserve"> supplier payments to ensure that payment runs are well organised, accurate and paid to an agreed BACs schedule or via other payment methods.</w:t>
      </w:r>
    </w:p>
    <w:p w14:paraId="75D61BDD" w14:textId="77777777" w:rsidR="00624035" w:rsidRPr="00D77036" w:rsidRDefault="00624035" w:rsidP="00624035">
      <w:pPr>
        <w:pStyle w:val="ListParagraph"/>
        <w:rPr>
          <w:u w:val="single"/>
        </w:rPr>
      </w:pPr>
    </w:p>
    <w:p w14:paraId="31F7EBC4" w14:textId="77777777" w:rsidR="00624035" w:rsidRPr="00D77036" w:rsidRDefault="00624035" w:rsidP="00624035">
      <w:pPr>
        <w:ind w:left="360"/>
        <w:jc w:val="both"/>
        <w:rPr>
          <w:u w:val="single"/>
        </w:rPr>
      </w:pPr>
      <w:r w:rsidRPr="00D77036">
        <w:rPr>
          <w:u w:val="single"/>
        </w:rPr>
        <w:t>Accounting Information and Reconciliation:</w:t>
      </w:r>
    </w:p>
    <w:p w14:paraId="0F1C890F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>support the maintenance of</w:t>
      </w:r>
      <w:r w:rsidRPr="00D77036">
        <w:t xml:space="preserve"> the Sage Accounts database, ensuring the purchase ledger and sales ledgers are accurate and up to date and that supporting financial records and filing systems are maintained.</w:t>
      </w:r>
    </w:p>
    <w:p w14:paraId="54C2C988" w14:textId="77777777" w:rsidR="00624035" w:rsidRPr="00D77036" w:rsidRDefault="00624035" w:rsidP="00624035">
      <w:pPr>
        <w:numPr>
          <w:ilvl w:val="0"/>
          <w:numId w:val="1"/>
        </w:numPr>
        <w:jc w:val="both"/>
      </w:pPr>
      <w:bookmarkStart w:id="0" w:name="_Hlk36636792"/>
      <w:r w:rsidRPr="00D77036">
        <w:t>To</w:t>
      </w:r>
      <w:r>
        <w:t xml:space="preserve"> assist with</w:t>
      </w:r>
      <w:r w:rsidRPr="00D77036">
        <w:t xml:space="preserve"> bank reconciliations as required.</w:t>
      </w:r>
    </w:p>
    <w:bookmarkEnd w:id="0"/>
    <w:p w14:paraId="4FBA5261" w14:textId="77777777" w:rsidR="00624035" w:rsidRPr="00D77036" w:rsidRDefault="00624035" w:rsidP="00624035">
      <w:pPr>
        <w:jc w:val="both"/>
      </w:pPr>
    </w:p>
    <w:p w14:paraId="39F72343" w14:textId="77777777" w:rsidR="00624035" w:rsidRPr="00D77036" w:rsidRDefault="00624035" w:rsidP="00624035">
      <w:pPr>
        <w:ind w:left="426"/>
        <w:jc w:val="both"/>
        <w:rPr>
          <w:u w:val="single"/>
        </w:rPr>
      </w:pPr>
      <w:r w:rsidRPr="00D77036">
        <w:rPr>
          <w:u w:val="single"/>
        </w:rPr>
        <w:t>Audit &amp; Internal Controls:</w:t>
      </w:r>
    </w:p>
    <w:p w14:paraId="59109AE1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ensure financial procedures and controls are effectively applied</w:t>
      </w:r>
      <w:r>
        <w:t>.</w:t>
      </w:r>
    </w:p>
    <w:p w14:paraId="6D1285E6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ensure a transparent audit trail is in place in preparation for the end of year audit process.</w:t>
      </w:r>
    </w:p>
    <w:p w14:paraId="7AA7B26D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support the work of the external auditors and </w:t>
      </w:r>
      <w:r>
        <w:t xml:space="preserve">help </w:t>
      </w:r>
      <w:r w:rsidRPr="00D77036">
        <w:t>provide the necessary advice and information required to support the annual audit</w:t>
      </w:r>
      <w:r>
        <w:t>.</w:t>
      </w:r>
    </w:p>
    <w:p w14:paraId="0E74F2C4" w14:textId="77777777" w:rsidR="00624035" w:rsidRPr="00D77036" w:rsidRDefault="00624035" w:rsidP="00624035">
      <w:pPr>
        <w:ind w:left="360"/>
        <w:jc w:val="both"/>
      </w:pPr>
    </w:p>
    <w:p w14:paraId="379203B9" w14:textId="77777777" w:rsidR="00624035" w:rsidRPr="00D77036" w:rsidRDefault="00624035" w:rsidP="00624035">
      <w:pPr>
        <w:jc w:val="both"/>
        <w:rPr>
          <w:u w:val="single"/>
        </w:rPr>
      </w:pPr>
      <w:r w:rsidRPr="00D77036">
        <w:rPr>
          <w:u w:val="single"/>
        </w:rPr>
        <w:t xml:space="preserve">Income and </w:t>
      </w:r>
      <w:proofErr w:type="spellStart"/>
      <w:r w:rsidRPr="00D77036">
        <w:rPr>
          <w:u w:val="single"/>
        </w:rPr>
        <w:t>Bankings</w:t>
      </w:r>
      <w:proofErr w:type="spellEnd"/>
      <w:r w:rsidRPr="00D77036">
        <w:rPr>
          <w:u w:val="single"/>
        </w:rPr>
        <w:t>:</w:t>
      </w:r>
    </w:p>
    <w:p w14:paraId="77A5A4B9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 xml:space="preserve">support in </w:t>
      </w:r>
      <w:r w:rsidRPr="00D77036">
        <w:t>ensur</w:t>
      </w:r>
      <w:r>
        <w:t>ing</w:t>
      </w:r>
      <w:r w:rsidRPr="00D77036">
        <w:t xml:space="preserve"> that all incoming donations are checked, accurately processed and banked promptly.</w:t>
      </w:r>
    </w:p>
    <w:p w14:paraId="28AD4937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securely store all monies and financial documents appropriately. </w:t>
      </w:r>
    </w:p>
    <w:p w14:paraId="1ADE8E23" w14:textId="43A66269" w:rsidR="00624035" w:rsidRDefault="00624035" w:rsidP="00624035">
      <w:pPr>
        <w:numPr>
          <w:ilvl w:val="0"/>
          <w:numId w:val="1"/>
        </w:numPr>
        <w:jc w:val="both"/>
      </w:pPr>
      <w:r w:rsidRPr="00D77036">
        <w:t xml:space="preserve">To </w:t>
      </w:r>
      <w:r>
        <w:t xml:space="preserve">help </w:t>
      </w:r>
      <w:r w:rsidRPr="00D77036">
        <w:t xml:space="preserve">prepare regular </w:t>
      </w:r>
      <w:proofErr w:type="spellStart"/>
      <w:r w:rsidRPr="00D77036">
        <w:t>bankings</w:t>
      </w:r>
      <w:proofErr w:type="spellEnd"/>
      <w:r w:rsidRPr="00D77036">
        <w:t xml:space="preserve"> and ensure accurate recording and the safe despatch of monies to a third-party cash collection service.</w:t>
      </w:r>
    </w:p>
    <w:p w14:paraId="66FF8F4F" w14:textId="77777777" w:rsidR="00624035" w:rsidRPr="00D77036" w:rsidRDefault="00624035" w:rsidP="00624035">
      <w:pPr>
        <w:numPr>
          <w:ilvl w:val="0"/>
          <w:numId w:val="1"/>
        </w:numPr>
        <w:jc w:val="both"/>
      </w:pPr>
      <w:r>
        <w:t>Support with engaging with external funders to ensure timely receipts of funds.</w:t>
      </w:r>
    </w:p>
    <w:p w14:paraId="7529A52F" w14:textId="77777777" w:rsidR="00624035" w:rsidRPr="00D77036" w:rsidRDefault="00624035" w:rsidP="00624035">
      <w:pPr>
        <w:jc w:val="both"/>
      </w:pPr>
    </w:p>
    <w:p w14:paraId="59B2F3F5" w14:textId="77777777" w:rsidR="00624035" w:rsidRPr="00D77036" w:rsidRDefault="00624035" w:rsidP="00624035">
      <w:pPr>
        <w:jc w:val="both"/>
        <w:rPr>
          <w:u w:val="single"/>
        </w:rPr>
      </w:pPr>
      <w:r w:rsidRPr="00D77036">
        <w:rPr>
          <w:u w:val="single"/>
        </w:rPr>
        <w:t>General:</w:t>
      </w:r>
    </w:p>
    <w:p w14:paraId="4145EFD2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communicate effectively both within and outside the team on financial related matters.</w:t>
      </w:r>
    </w:p>
    <w:p w14:paraId="4031DA7B" w14:textId="51A822C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 xml:space="preserve">To maintain departmental, </w:t>
      </w:r>
      <w:r w:rsidR="00EC1B7F" w:rsidRPr="00D77036">
        <w:t>patient,</w:t>
      </w:r>
      <w:r w:rsidRPr="00D77036">
        <w:t xml:space="preserve"> and whole Hospice confidentiality.</w:t>
      </w:r>
    </w:p>
    <w:p w14:paraId="539773B4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securely store personal data in line with the General Data Protection Act 2018.</w:t>
      </w:r>
    </w:p>
    <w:p w14:paraId="743EA41E" w14:textId="77777777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participate in training as required.</w:t>
      </w:r>
    </w:p>
    <w:p w14:paraId="222B0A09" w14:textId="6D006099" w:rsidR="00624035" w:rsidRPr="00D77036" w:rsidRDefault="00624035" w:rsidP="00624035">
      <w:pPr>
        <w:numPr>
          <w:ilvl w:val="0"/>
          <w:numId w:val="1"/>
        </w:numPr>
        <w:jc w:val="both"/>
      </w:pPr>
      <w:r w:rsidRPr="00D77036">
        <w:t>To undertake any other appropriate duties as requested</w:t>
      </w:r>
      <w:r>
        <w:t>.</w:t>
      </w:r>
    </w:p>
    <w:p w14:paraId="682CCDEA" w14:textId="77777777" w:rsidR="00624035" w:rsidRPr="00D77036" w:rsidRDefault="00624035" w:rsidP="00624035">
      <w:pPr>
        <w:ind w:left="360"/>
        <w:jc w:val="both"/>
      </w:pPr>
    </w:p>
    <w:p w14:paraId="19E47143" w14:textId="77777777" w:rsidR="00624035" w:rsidRPr="00D77036" w:rsidRDefault="00624035" w:rsidP="00624035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77036">
        <w:br w:type="page"/>
      </w:r>
    </w:p>
    <w:p w14:paraId="6BD9D65A" w14:textId="77777777" w:rsidR="00624035" w:rsidRDefault="00624035" w:rsidP="00624035">
      <w:pPr>
        <w:jc w:val="center"/>
        <w:rPr>
          <w:rFonts w:cs="Arial"/>
          <w:b/>
          <w:bCs/>
          <w:sz w:val="28"/>
          <w:szCs w:val="28"/>
        </w:rPr>
      </w:pPr>
      <w:r w:rsidRPr="00F74100">
        <w:rPr>
          <w:rFonts w:cs="Arial"/>
          <w:b/>
          <w:bCs/>
          <w:sz w:val="28"/>
          <w:szCs w:val="28"/>
        </w:rPr>
        <w:lastRenderedPageBreak/>
        <w:t>Person Specification</w:t>
      </w:r>
    </w:p>
    <w:p w14:paraId="1F0131AF" w14:textId="195B8090" w:rsidR="00624035" w:rsidRPr="00F74100" w:rsidRDefault="00F50241" w:rsidP="00624035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Associate Finance Officer</w:t>
      </w:r>
    </w:p>
    <w:p w14:paraId="0BDBCB23" w14:textId="77777777" w:rsidR="00624035" w:rsidRPr="00F74100" w:rsidRDefault="00624035" w:rsidP="00624035">
      <w:pPr>
        <w:jc w:val="center"/>
        <w:rPr>
          <w:rFonts w:ascii="Tahoma" w:hAnsi="Tahoma" w:cs="Tahoma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270"/>
        <w:gridCol w:w="1297"/>
      </w:tblGrid>
      <w:tr w:rsidR="00624035" w:rsidRPr="00F74100" w14:paraId="1DF23E72" w14:textId="77777777" w:rsidTr="00BE4B00">
        <w:tc>
          <w:tcPr>
            <w:tcW w:w="6449" w:type="dxa"/>
            <w:shd w:val="clear" w:color="auto" w:fill="D9D9D9"/>
            <w:vAlign w:val="center"/>
          </w:tcPr>
          <w:p w14:paraId="0A0CB8E9" w14:textId="77777777" w:rsidR="00624035" w:rsidRPr="001E411E" w:rsidRDefault="00624035" w:rsidP="00BE4B00">
            <w:pPr>
              <w:rPr>
                <w:b/>
                <w:bCs/>
              </w:rPr>
            </w:pPr>
            <w:r>
              <w:rPr>
                <w:b/>
              </w:rPr>
              <w:t>Knowledge and Qualifications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251E8927" w14:textId="77777777" w:rsidR="00624035" w:rsidRPr="001E411E" w:rsidRDefault="00624035" w:rsidP="00BE4B00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1F807416" w14:textId="77777777" w:rsidR="00624035" w:rsidRPr="001E411E" w:rsidRDefault="00624035" w:rsidP="00BE4B00">
            <w:pPr>
              <w:jc w:val="center"/>
              <w:rPr>
                <w:b/>
                <w:bCs/>
              </w:rPr>
            </w:pPr>
            <w:r w:rsidRPr="001E411E">
              <w:rPr>
                <w:b/>
                <w:bCs/>
              </w:rPr>
              <w:t>Desirable</w:t>
            </w:r>
          </w:p>
        </w:tc>
      </w:tr>
      <w:tr w:rsidR="00624035" w:rsidRPr="00F74100" w14:paraId="3C7A4873" w14:textId="77777777" w:rsidTr="00BE4B00">
        <w:tc>
          <w:tcPr>
            <w:tcW w:w="6449" w:type="dxa"/>
            <w:shd w:val="clear" w:color="auto" w:fill="FFFFFF" w:themeFill="background1"/>
            <w:vAlign w:val="center"/>
          </w:tcPr>
          <w:p w14:paraId="715255B5" w14:textId="77777777" w:rsidR="00624035" w:rsidRPr="001E411E" w:rsidRDefault="00624035" w:rsidP="00BE4B00">
            <w:pPr>
              <w:rPr>
                <w:b/>
              </w:rPr>
            </w:pPr>
            <w:r w:rsidRPr="00291CEB">
              <w:rPr>
                <w:bCs/>
              </w:rPr>
              <w:t xml:space="preserve">GCSE qualifications including Maths and English (Grade </w:t>
            </w:r>
            <w:r>
              <w:rPr>
                <w:bCs/>
              </w:rPr>
              <w:t>4</w:t>
            </w:r>
            <w:r w:rsidRPr="00291CEB">
              <w:rPr>
                <w:bCs/>
              </w:rPr>
              <w:t xml:space="preserve"> or above)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EAEE6BA" w14:textId="77777777" w:rsidR="00624035" w:rsidRPr="00137980" w:rsidRDefault="00624035" w:rsidP="0050503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16D67604" w14:textId="77777777" w:rsidR="00624035" w:rsidRPr="001E411E" w:rsidRDefault="00624035" w:rsidP="00BE4B00">
            <w:pPr>
              <w:jc w:val="center"/>
              <w:rPr>
                <w:b/>
                <w:bCs/>
              </w:rPr>
            </w:pPr>
          </w:p>
        </w:tc>
      </w:tr>
      <w:tr w:rsidR="009945C6" w:rsidRPr="00F74100" w14:paraId="7C45B3A7" w14:textId="77777777" w:rsidTr="00BE4B00">
        <w:tc>
          <w:tcPr>
            <w:tcW w:w="6449" w:type="dxa"/>
            <w:shd w:val="clear" w:color="auto" w:fill="FFFFFF" w:themeFill="background1"/>
            <w:vAlign w:val="center"/>
          </w:tcPr>
          <w:p w14:paraId="6AE9DAD3" w14:textId="06FBF3B6" w:rsidR="009945C6" w:rsidRPr="00291CEB" w:rsidRDefault="00605380" w:rsidP="00BE4B00">
            <w:pPr>
              <w:rPr>
                <w:bCs/>
              </w:rPr>
            </w:pPr>
            <w:r>
              <w:rPr>
                <w:bCs/>
              </w:rPr>
              <w:t>E</w:t>
            </w:r>
            <w:r w:rsidR="009945C6">
              <w:rPr>
                <w:bCs/>
              </w:rPr>
              <w:t>xperienced in using accounting software</w:t>
            </w:r>
            <w:r w:rsidR="006F01E2">
              <w:rPr>
                <w:bCs/>
              </w:rPr>
              <w:t xml:space="preserve">. 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87CC5EB" w14:textId="77777777" w:rsidR="009945C6" w:rsidRPr="00137980" w:rsidRDefault="009945C6" w:rsidP="0050503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55C18630" w14:textId="77777777" w:rsidR="009945C6" w:rsidRPr="001E411E" w:rsidRDefault="009945C6" w:rsidP="00BE4B00">
            <w:pPr>
              <w:jc w:val="center"/>
              <w:rPr>
                <w:b/>
                <w:bCs/>
              </w:rPr>
            </w:pPr>
          </w:p>
        </w:tc>
      </w:tr>
      <w:tr w:rsidR="007D311C" w:rsidRPr="00F74100" w14:paraId="1C8C3E2F" w14:textId="77777777" w:rsidTr="00BE4B00">
        <w:tc>
          <w:tcPr>
            <w:tcW w:w="6449" w:type="dxa"/>
            <w:shd w:val="clear" w:color="auto" w:fill="FFFFFF" w:themeFill="background1"/>
            <w:vAlign w:val="center"/>
          </w:tcPr>
          <w:p w14:paraId="0516D21E" w14:textId="3A7127E2" w:rsidR="007D311C" w:rsidRDefault="007D311C" w:rsidP="00BE4B00">
            <w:pPr>
              <w:rPr>
                <w:bCs/>
              </w:rPr>
            </w:pPr>
            <w:r>
              <w:rPr>
                <w:bCs/>
              </w:rPr>
              <w:t>Sage L50 experience.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7877016" w14:textId="77777777" w:rsidR="007D311C" w:rsidRPr="00137980" w:rsidRDefault="007D311C" w:rsidP="0050503C">
            <w:pPr>
              <w:pStyle w:val="ListParagraph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01E3D5C3" w14:textId="37124DDD" w:rsidR="007D311C" w:rsidRPr="007D311C" w:rsidRDefault="007D311C" w:rsidP="007D311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</w:tr>
      <w:tr w:rsidR="009945C6" w:rsidRPr="00F74100" w14:paraId="64ED0400" w14:textId="77777777" w:rsidTr="00BE4B00">
        <w:tc>
          <w:tcPr>
            <w:tcW w:w="6449" w:type="dxa"/>
            <w:shd w:val="clear" w:color="auto" w:fill="FFFFFF" w:themeFill="background1"/>
            <w:vAlign w:val="center"/>
          </w:tcPr>
          <w:p w14:paraId="71EB0FD9" w14:textId="52BE5B3C" w:rsidR="009945C6" w:rsidRPr="00291CEB" w:rsidRDefault="006F01E2" w:rsidP="00BE4B00">
            <w:pPr>
              <w:rPr>
                <w:bCs/>
              </w:rPr>
            </w:pPr>
            <w:r>
              <w:rPr>
                <w:bCs/>
              </w:rPr>
              <w:t xml:space="preserve">In depth </w:t>
            </w:r>
            <w:r w:rsidR="009945C6">
              <w:rPr>
                <w:bCs/>
              </w:rPr>
              <w:t>understanding of bookkeeping principals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1CBFB54" w14:textId="77777777" w:rsidR="009945C6" w:rsidRPr="00137980" w:rsidRDefault="009945C6" w:rsidP="0050503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975BD53" w14:textId="77777777" w:rsidR="009945C6" w:rsidRPr="001E411E" w:rsidRDefault="009945C6" w:rsidP="00BE4B00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4A614B47" w14:textId="77777777" w:rsidTr="00BE4B00">
        <w:tc>
          <w:tcPr>
            <w:tcW w:w="6449" w:type="dxa"/>
            <w:shd w:val="clear" w:color="auto" w:fill="FFFFFF" w:themeFill="background1"/>
            <w:vAlign w:val="center"/>
          </w:tcPr>
          <w:p w14:paraId="343B83C6" w14:textId="77D5FAE5" w:rsidR="00F50241" w:rsidRPr="00291CEB" w:rsidRDefault="00F50241" w:rsidP="00F50241">
            <w:pPr>
              <w:rPr>
                <w:bCs/>
              </w:rPr>
            </w:pPr>
            <w:r>
              <w:rPr>
                <w:bCs/>
              </w:rPr>
              <w:t xml:space="preserve">AAT </w:t>
            </w:r>
            <w:r w:rsidR="007D311C">
              <w:rPr>
                <w:bCs/>
              </w:rPr>
              <w:t xml:space="preserve">Bookkeeping </w:t>
            </w:r>
            <w:r>
              <w:rPr>
                <w:bCs/>
              </w:rPr>
              <w:t>qualification</w:t>
            </w:r>
            <w:r w:rsidR="007D311C">
              <w:rPr>
                <w:bCs/>
              </w:rPr>
              <w:t xml:space="preserve"> or willingness to work towards.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A3B114D" w14:textId="77777777" w:rsidR="00F50241" w:rsidRPr="00137980" w:rsidRDefault="00F50241" w:rsidP="0050503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713B706" w14:textId="65BF4FF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7FA29462" w14:textId="77777777" w:rsidTr="00BE4B00">
        <w:tc>
          <w:tcPr>
            <w:tcW w:w="6449" w:type="dxa"/>
            <w:shd w:val="clear" w:color="auto" w:fill="D9D9D9"/>
            <w:vAlign w:val="center"/>
          </w:tcPr>
          <w:p w14:paraId="3A3A4B2E" w14:textId="77777777" w:rsidR="00F50241" w:rsidRPr="001E411E" w:rsidRDefault="00F50241" w:rsidP="00F50241">
            <w:pPr>
              <w:rPr>
                <w:b/>
                <w:bCs/>
              </w:rPr>
            </w:pPr>
            <w:r w:rsidRPr="001E411E">
              <w:rPr>
                <w:b/>
              </w:rPr>
              <w:t>Skills and abilities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6962F0A9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13B77224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48D04073" w14:textId="77777777" w:rsidTr="00BE4B00">
        <w:tc>
          <w:tcPr>
            <w:tcW w:w="6449" w:type="dxa"/>
            <w:shd w:val="clear" w:color="auto" w:fill="auto"/>
            <w:vAlign w:val="center"/>
          </w:tcPr>
          <w:p w14:paraId="1B23747B" w14:textId="77777777" w:rsidR="00F50241" w:rsidRPr="00930391" w:rsidRDefault="00F50241" w:rsidP="00F50241">
            <w:r>
              <w:t>Excellent communication skills both verbal and written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385658" w14:textId="7A82F020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E5548A2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0D25337C" w14:textId="77777777" w:rsidTr="00BE4B00">
        <w:tc>
          <w:tcPr>
            <w:tcW w:w="6449" w:type="dxa"/>
            <w:shd w:val="clear" w:color="auto" w:fill="auto"/>
            <w:vAlign w:val="center"/>
          </w:tcPr>
          <w:p w14:paraId="78454E32" w14:textId="77777777" w:rsidR="00F50241" w:rsidRPr="00930391" w:rsidRDefault="00F50241" w:rsidP="00F50241">
            <w:pPr>
              <w:rPr>
                <w:bCs/>
              </w:rPr>
            </w:pPr>
            <w:r>
              <w:t>Excellent and accurate IT skills: Microsoft Office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D5CCE0" w14:textId="4A0DFD7F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62178D4" w14:textId="77777777" w:rsidR="00F50241" w:rsidRPr="00116BBB" w:rsidRDefault="00F50241" w:rsidP="00F50241">
            <w:pPr>
              <w:pStyle w:val="ListParagraph"/>
              <w:rPr>
                <w:b/>
                <w:bCs/>
              </w:rPr>
            </w:pPr>
          </w:p>
        </w:tc>
      </w:tr>
      <w:tr w:rsidR="00F50241" w:rsidRPr="00F74100" w14:paraId="7B6258F5" w14:textId="77777777" w:rsidTr="00BE4B00">
        <w:tc>
          <w:tcPr>
            <w:tcW w:w="6449" w:type="dxa"/>
            <w:shd w:val="clear" w:color="auto" w:fill="auto"/>
            <w:vAlign w:val="center"/>
          </w:tcPr>
          <w:p w14:paraId="6734E70C" w14:textId="77777777" w:rsidR="00F50241" w:rsidRDefault="00F50241" w:rsidP="00F50241">
            <w:pPr>
              <w:rPr>
                <w:bCs/>
              </w:rPr>
            </w:pPr>
            <w:r>
              <w:t>Excellent and accurate numerical skills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90B0BE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0D94CC2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4AB75267" w14:textId="77777777" w:rsidTr="00BE4B00">
        <w:tc>
          <w:tcPr>
            <w:tcW w:w="6449" w:type="dxa"/>
            <w:shd w:val="clear" w:color="auto" w:fill="auto"/>
            <w:vAlign w:val="center"/>
          </w:tcPr>
          <w:p w14:paraId="06FBAED6" w14:textId="77777777" w:rsidR="00F50241" w:rsidRPr="00F74100" w:rsidRDefault="00F50241" w:rsidP="00F50241">
            <w:pPr>
              <w:rPr>
                <w:bCs/>
              </w:rPr>
            </w:pPr>
            <w:r>
              <w:t xml:space="preserve">Ability to work calmly and methodically under pressure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06EF6BA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FBECC7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269DF679" w14:textId="77777777" w:rsidTr="00BE4B00">
        <w:tc>
          <w:tcPr>
            <w:tcW w:w="6449" w:type="dxa"/>
            <w:shd w:val="clear" w:color="auto" w:fill="auto"/>
            <w:vAlign w:val="center"/>
          </w:tcPr>
          <w:p w14:paraId="75E122FD" w14:textId="77777777" w:rsidR="00F50241" w:rsidRPr="00F74100" w:rsidRDefault="00F50241" w:rsidP="00F50241">
            <w:r>
              <w:t>Ability to multi-task and use initiative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08417D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CC542BC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4033F9AC" w14:textId="77777777" w:rsidTr="00BE4B00">
        <w:tc>
          <w:tcPr>
            <w:tcW w:w="6449" w:type="dxa"/>
            <w:shd w:val="clear" w:color="auto" w:fill="auto"/>
            <w:vAlign w:val="center"/>
          </w:tcPr>
          <w:p w14:paraId="15054113" w14:textId="77777777" w:rsidR="00F50241" w:rsidRPr="001E411E" w:rsidRDefault="00F50241" w:rsidP="00F50241">
            <w:pPr>
              <w:rPr>
                <w:b/>
              </w:rPr>
            </w:pPr>
            <w:r>
              <w:t>Aptitude and enthusiasm for embarking service developments and new initiatives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9E2376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EC32A21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09E19685" w14:textId="77777777" w:rsidTr="00BE4B00">
        <w:tc>
          <w:tcPr>
            <w:tcW w:w="6449" w:type="dxa"/>
            <w:shd w:val="clear" w:color="auto" w:fill="auto"/>
            <w:vAlign w:val="center"/>
          </w:tcPr>
          <w:p w14:paraId="24FE127A" w14:textId="77777777" w:rsidR="00F50241" w:rsidRPr="00F74100" w:rsidRDefault="00F50241" w:rsidP="00F50241">
            <w:r>
              <w:t>Ability to manage time and maintain priorities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17A7BD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08ADA33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1B88DF24" w14:textId="77777777" w:rsidTr="00BE4B00">
        <w:tc>
          <w:tcPr>
            <w:tcW w:w="6449" w:type="dxa"/>
            <w:shd w:val="clear" w:color="auto" w:fill="D9D9D9"/>
            <w:vAlign w:val="center"/>
          </w:tcPr>
          <w:p w14:paraId="2E582470" w14:textId="77777777" w:rsidR="00F50241" w:rsidRPr="00A428CC" w:rsidRDefault="00F50241" w:rsidP="00F50241">
            <w:r w:rsidRPr="001E411E">
              <w:rPr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067AB867" w14:textId="77777777" w:rsidR="00F50241" w:rsidRPr="0050503C" w:rsidRDefault="00F50241" w:rsidP="00F50241">
            <w:pPr>
              <w:jc w:val="center"/>
            </w:pPr>
          </w:p>
        </w:tc>
        <w:tc>
          <w:tcPr>
            <w:tcW w:w="1297" w:type="dxa"/>
            <w:shd w:val="clear" w:color="auto" w:fill="D9D9D9"/>
            <w:vAlign w:val="center"/>
          </w:tcPr>
          <w:p w14:paraId="2D01077C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6F464F4A" w14:textId="77777777" w:rsidTr="00BE4B00">
        <w:tc>
          <w:tcPr>
            <w:tcW w:w="6449" w:type="dxa"/>
            <w:shd w:val="clear" w:color="auto" w:fill="auto"/>
            <w:vAlign w:val="center"/>
          </w:tcPr>
          <w:p w14:paraId="6CE5194E" w14:textId="77777777" w:rsidR="00F50241" w:rsidRDefault="00F50241" w:rsidP="00F50241">
            <w:r>
              <w:t>Commitment to the prime importance of confidentiality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08AC24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3C09CA5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23AF4820" w14:textId="77777777" w:rsidTr="00BE4B00">
        <w:tc>
          <w:tcPr>
            <w:tcW w:w="6449" w:type="dxa"/>
            <w:shd w:val="clear" w:color="auto" w:fill="auto"/>
            <w:vAlign w:val="center"/>
          </w:tcPr>
          <w:p w14:paraId="775CB28E" w14:textId="77777777" w:rsidR="00F50241" w:rsidRDefault="00F50241" w:rsidP="00F50241">
            <w:r>
              <w:t>Strong sense of responsibility and accountability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3AE859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0F0746E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  <w:tr w:rsidR="00F50241" w:rsidRPr="00F74100" w14:paraId="2962F2A3" w14:textId="77777777" w:rsidTr="00BE4B00">
        <w:tc>
          <w:tcPr>
            <w:tcW w:w="6449" w:type="dxa"/>
            <w:shd w:val="clear" w:color="auto" w:fill="auto"/>
            <w:vAlign w:val="center"/>
          </w:tcPr>
          <w:p w14:paraId="166EB4E4" w14:textId="77777777" w:rsidR="00F50241" w:rsidRDefault="00F50241" w:rsidP="00F50241">
            <w:r>
              <w:t>Ability to act on own initiative as well as a team member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01E55D3" w14:textId="77777777" w:rsidR="00F50241" w:rsidRPr="0050503C" w:rsidRDefault="00F50241" w:rsidP="00F50241">
            <w:pPr>
              <w:jc w:val="center"/>
            </w:pPr>
            <w:r w:rsidRPr="0050503C"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6CF4A52" w14:textId="77777777" w:rsidR="00F50241" w:rsidRPr="001E411E" w:rsidRDefault="00F50241" w:rsidP="00F50241">
            <w:pPr>
              <w:jc w:val="center"/>
              <w:rPr>
                <w:b/>
                <w:bCs/>
              </w:rPr>
            </w:pPr>
          </w:p>
        </w:tc>
      </w:tr>
    </w:tbl>
    <w:p w14:paraId="540313F1" w14:textId="77777777" w:rsidR="00624035" w:rsidRDefault="00624035" w:rsidP="00624035">
      <w:pPr>
        <w:jc w:val="both"/>
      </w:pPr>
    </w:p>
    <w:p w14:paraId="1520FA01" w14:textId="77777777" w:rsidR="00624035" w:rsidRPr="00A428CC" w:rsidRDefault="00624035" w:rsidP="0062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bCs/>
        </w:rPr>
        <w:t>T</w:t>
      </w:r>
      <w:r w:rsidRPr="0069581C">
        <w:rPr>
          <w:rFonts w:cs="Arial"/>
          <w:bCs/>
        </w:rPr>
        <w:t xml:space="preserve">his </w:t>
      </w:r>
      <w:r>
        <w:rPr>
          <w:rFonts w:cs="Arial"/>
          <w:bCs/>
        </w:rPr>
        <w:t>document</w:t>
      </w:r>
      <w:r w:rsidRPr="0069581C">
        <w:rPr>
          <w:rFonts w:cs="Arial"/>
          <w:bCs/>
        </w:rPr>
        <w:t xml:space="preserve"> is subject to review as part of the annual appraisal process and in case of any changed service provision</w:t>
      </w:r>
      <w:r>
        <w:rPr>
          <w:rFonts w:cs="Arial"/>
          <w:bCs/>
        </w:rPr>
        <w:t xml:space="preserve"> </w:t>
      </w:r>
      <w:r w:rsidRPr="00663593">
        <w:t>following discussion with the post holder</w:t>
      </w:r>
      <w:r>
        <w:t>.</w:t>
      </w:r>
    </w:p>
    <w:p w14:paraId="2D23B44F" w14:textId="77777777" w:rsidR="00624035" w:rsidRDefault="00624035" w:rsidP="00624035"/>
    <w:p w14:paraId="74DCA764" w14:textId="77777777" w:rsidR="00624035" w:rsidRDefault="00624035"/>
    <w:sectPr w:rsidR="00624035" w:rsidSect="004259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941B" w14:textId="77777777" w:rsidR="005F4AEF" w:rsidRDefault="005F4AEF" w:rsidP="00822E56">
      <w:r>
        <w:separator/>
      </w:r>
    </w:p>
  </w:endnote>
  <w:endnote w:type="continuationSeparator" w:id="0">
    <w:p w14:paraId="58BE32DA" w14:textId="77777777" w:rsidR="005F4AEF" w:rsidRDefault="005F4AEF" w:rsidP="0082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6270" w14:textId="77777777" w:rsidR="00694A6C" w:rsidRPr="007A53BB" w:rsidRDefault="006F01E2" w:rsidP="00232912">
    <w:pPr>
      <w:pStyle w:val="Footer"/>
      <w:framePr w:wrap="around" w:vAnchor="text" w:hAnchor="page" w:x="10450" w:y="170"/>
      <w:rPr>
        <w:rStyle w:val="PageNumber"/>
        <w:rFonts w:eastAsiaTheme="majorEastAsia"/>
        <w:sz w:val="20"/>
        <w:szCs w:val="20"/>
      </w:rPr>
    </w:pPr>
    <w:r w:rsidRPr="007A53BB">
      <w:rPr>
        <w:rStyle w:val="PageNumber"/>
        <w:rFonts w:eastAsiaTheme="majorEastAsia"/>
        <w:sz w:val="20"/>
        <w:szCs w:val="20"/>
      </w:rPr>
      <w:fldChar w:fldCharType="begin"/>
    </w:r>
    <w:r w:rsidRPr="007A53BB">
      <w:rPr>
        <w:rStyle w:val="PageNumber"/>
        <w:rFonts w:eastAsiaTheme="majorEastAsia"/>
        <w:sz w:val="20"/>
        <w:szCs w:val="20"/>
      </w:rPr>
      <w:instrText xml:space="preserve">PAGE  </w:instrText>
    </w:r>
    <w:r w:rsidRPr="007A53BB">
      <w:rPr>
        <w:rStyle w:val="PageNumber"/>
        <w:rFonts w:eastAsiaTheme="majorEastAsia"/>
        <w:sz w:val="20"/>
        <w:szCs w:val="20"/>
      </w:rPr>
      <w:fldChar w:fldCharType="separate"/>
    </w:r>
    <w:r>
      <w:rPr>
        <w:rStyle w:val="PageNumber"/>
        <w:rFonts w:eastAsiaTheme="majorEastAsia"/>
        <w:noProof/>
        <w:sz w:val="20"/>
        <w:szCs w:val="20"/>
      </w:rPr>
      <w:t>1</w:t>
    </w:r>
    <w:r w:rsidRPr="007A53BB">
      <w:rPr>
        <w:rStyle w:val="PageNumber"/>
        <w:rFonts w:eastAsiaTheme="majorEastAsia"/>
        <w:sz w:val="20"/>
        <w:szCs w:val="20"/>
      </w:rPr>
      <w:fldChar w:fldCharType="end"/>
    </w:r>
  </w:p>
  <w:p w14:paraId="57195C4C" w14:textId="77777777" w:rsidR="00694A6C" w:rsidRPr="00232912" w:rsidRDefault="00694A6C">
    <w:pPr>
      <w:pStyle w:val="Footer"/>
      <w:jc w:val="right"/>
      <w:rPr>
        <w:sz w:val="16"/>
        <w:szCs w:val="16"/>
      </w:rPr>
    </w:pPr>
  </w:p>
  <w:p w14:paraId="02F6A1F6" w14:textId="6FB2CB83" w:rsidR="00694A6C" w:rsidRDefault="00822E56" w:rsidP="0023291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November 2024</w:t>
    </w:r>
  </w:p>
  <w:p w14:paraId="4AAFFF62" w14:textId="77777777" w:rsidR="00694A6C" w:rsidRPr="00FA78EC" w:rsidRDefault="00694A6C" w:rsidP="00232912">
    <w:pPr>
      <w:pStyle w:val="Footer"/>
      <w:ind w:right="360"/>
      <w:rPr>
        <w:sz w:val="16"/>
        <w:szCs w:val="16"/>
      </w:rPr>
    </w:pPr>
  </w:p>
  <w:p w14:paraId="5CE5221A" w14:textId="77777777" w:rsidR="00694A6C" w:rsidRDefault="0069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63D2" w14:textId="77777777" w:rsidR="005F4AEF" w:rsidRDefault="005F4AEF" w:rsidP="00822E56">
      <w:r>
        <w:separator/>
      </w:r>
    </w:p>
  </w:footnote>
  <w:footnote w:type="continuationSeparator" w:id="0">
    <w:p w14:paraId="48039CA2" w14:textId="77777777" w:rsidR="005F4AEF" w:rsidRDefault="005F4AEF" w:rsidP="0082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9340" w14:textId="3D8230F7" w:rsidR="00EB285D" w:rsidRDefault="00EB285D" w:rsidP="00EB285D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0515BDC2" wp14:editId="2BA8AD84">
          <wp:extent cx="985962" cy="985962"/>
          <wp:effectExtent l="0" t="0" r="5080" b="0"/>
          <wp:docPr id="2132442373" name="Picture 1" descr="A logo for a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42373" name="Picture 1" descr="A logo for a char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724" cy="9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6063F" w14:textId="77777777" w:rsidR="00694A6C" w:rsidRDefault="00694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093D"/>
    <w:multiLevelType w:val="hybridMultilevel"/>
    <w:tmpl w:val="780E45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245"/>
    <w:multiLevelType w:val="hybridMultilevel"/>
    <w:tmpl w:val="0C209ADE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735771">
    <w:abstractNumId w:val="1"/>
  </w:num>
  <w:num w:numId="2" w16cid:durableId="113602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35"/>
    <w:rsid w:val="0050503C"/>
    <w:rsid w:val="005F4AEF"/>
    <w:rsid w:val="00605380"/>
    <w:rsid w:val="00624035"/>
    <w:rsid w:val="00694A6C"/>
    <w:rsid w:val="006D19A4"/>
    <w:rsid w:val="006F01E2"/>
    <w:rsid w:val="007D311C"/>
    <w:rsid w:val="00822E56"/>
    <w:rsid w:val="009945C6"/>
    <w:rsid w:val="00E9745A"/>
    <w:rsid w:val="00EB285D"/>
    <w:rsid w:val="00EC1B7F"/>
    <w:rsid w:val="00F5024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EC8D"/>
  <w15:chartTrackingRefBased/>
  <w15:docId w15:val="{8EF736B4-92D8-43C0-BC5D-523BD9DF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35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24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24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0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4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35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24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4035"/>
    <w:rPr>
      <w:rFonts w:ascii="Arial" w:eastAsia="Times New Roman" w:hAnsi="Arial" w:cs="Times New Roman"/>
      <w:kern w:val="0"/>
      <w14:ligatures w14:val="none"/>
    </w:rPr>
  </w:style>
  <w:style w:type="character" w:styleId="PageNumber">
    <w:name w:val="page number"/>
    <w:basedOn w:val="DefaultParagraphFont"/>
    <w:rsid w:val="00624035"/>
  </w:style>
  <w:style w:type="paragraph" w:styleId="NoSpacing">
    <w:name w:val="No Spacing"/>
    <w:uiPriority w:val="1"/>
    <w:qFormat/>
    <w:rsid w:val="00624035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24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035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Courtnee Errington</dc:creator>
  <cp:keywords/>
  <dc:description/>
  <cp:lastModifiedBy>Eve Robertson</cp:lastModifiedBy>
  <cp:revision>2</cp:revision>
  <dcterms:created xsi:type="dcterms:W3CDTF">2025-01-15T12:49:00Z</dcterms:created>
  <dcterms:modified xsi:type="dcterms:W3CDTF">2025-01-15T12:49:00Z</dcterms:modified>
</cp:coreProperties>
</file>